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A71" w:rsidRDefault="00C66A71" w:rsidP="009C24FD">
      <w:pPr>
        <w:jc w:val="center"/>
        <w:rPr>
          <w:b/>
          <w:sz w:val="28"/>
          <w:szCs w:val="28"/>
          <w:lang w:val="es-ES_tradnl"/>
        </w:rPr>
      </w:pPr>
    </w:p>
    <w:p w:rsidR="00342ECD" w:rsidRPr="009C24FD" w:rsidRDefault="004C3D70" w:rsidP="009C24FD">
      <w:pPr>
        <w:jc w:val="center"/>
        <w:rPr>
          <w:b/>
          <w:sz w:val="28"/>
          <w:szCs w:val="28"/>
          <w:lang w:val="es-ES_tradnl"/>
        </w:rPr>
      </w:pPr>
      <w:r w:rsidRPr="009C24FD">
        <w:rPr>
          <w:b/>
          <w:sz w:val="28"/>
          <w:szCs w:val="28"/>
          <w:lang w:val="es-ES_tradnl"/>
        </w:rPr>
        <w:t>PAUTAS ORIENTASARE</w:t>
      </w:r>
      <w:r w:rsidR="00AB361A">
        <w:rPr>
          <w:b/>
          <w:sz w:val="28"/>
          <w:szCs w:val="28"/>
          <w:lang w:val="es-ES_tradnl"/>
        </w:rPr>
        <w:t>-SILCOIWEB</w:t>
      </w:r>
      <w:r w:rsidR="007B371C">
        <w:rPr>
          <w:b/>
          <w:sz w:val="28"/>
          <w:szCs w:val="28"/>
          <w:lang w:val="es-ES_tradnl"/>
        </w:rPr>
        <w:t xml:space="preserve"> (Escuelas Taller)</w:t>
      </w:r>
    </w:p>
    <w:p w:rsidR="00AB361A" w:rsidRDefault="00AB361A" w:rsidP="00AB361A">
      <w:pPr>
        <w:jc w:val="both"/>
        <w:rPr>
          <w:lang w:val="es-ES_tradnl"/>
        </w:rPr>
      </w:pPr>
      <w:r>
        <w:rPr>
          <w:lang w:val="es-ES_tradnl"/>
        </w:rPr>
        <w:t xml:space="preserve">Se deben realizar y reflejar en la aplicación de </w:t>
      </w:r>
      <w:proofErr w:type="spellStart"/>
      <w:r>
        <w:rPr>
          <w:lang w:val="es-ES_tradnl"/>
        </w:rPr>
        <w:t>Orientasare</w:t>
      </w:r>
      <w:proofErr w:type="spellEnd"/>
      <w:r>
        <w:rPr>
          <w:lang w:val="es-ES_tradnl"/>
        </w:rPr>
        <w:t xml:space="preserve"> a lo largo de todo el proyecto, al menos las actuaciones relacionadas en la base 4.1. orientación del Anexo II de la convocatoria que regula el contenido de los proyectos de las Escuelas Taller.</w:t>
      </w:r>
    </w:p>
    <w:p w:rsidR="00AB361A" w:rsidRPr="001336AE" w:rsidRDefault="00AB361A" w:rsidP="00AB361A">
      <w:pPr>
        <w:jc w:val="both"/>
        <w:rPr>
          <w:lang w:val="es-ES_tradnl"/>
        </w:rPr>
      </w:pPr>
      <w:r w:rsidRPr="001336AE">
        <w:rPr>
          <w:lang w:val="es-ES_tradnl"/>
        </w:rPr>
        <w:t xml:space="preserve">Para ello </w:t>
      </w:r>
      <w:r>
        <w:rPr>
          <w:lang w:val="es-ES_tradnl"/>
        </w:rPr>
        <w:t xml:space="preserve">se </w:t>
      </w:r>
      <w:r w:rsidRPr="001336AE">
        <w:rPr>
          <w:lang w:val="es-ES_tradnl"/>
        </w:rPr>
        <w:t>utilizarán como mínimo los instrumentos establecidos (diagnóstico e</w:t>
      </w:r>
      <w:r>
        <w:rPr>
          <w:lang w:val="es-ES_tradnl"/>
        </w:rPr>
        <w:t xml:space="preserve"> </w:t>
      </w:r>
      <w:r w:rsidRPr="001336AE">
        <w:rPr>
          <w:lang w:val="es-ES_tradnl"/>
        </w:rPr>
        <w:t>itinerario) por el personal de Orientación del Servicio Navarro de Empleo-</w:t>
      </w:r>
      <w:proofErr w:type="spellStart"/>
      <w:r w:rsidRPr="001336AE">
        <w:rPr>
          <w:lang w:val="es-ES_tradnl"/>
        </w:rPr>
        <w:t>Nafar</w:t>
      </w:r>
      <w:proofErr w:type="spellEnd"/>
      <w:r w:rsidRPr="001336AE">
        <w:rPr>
          <w:lang w:val="es-ES_tradnl"/>
        </w:rPr>
        <w:t xml:space="preserve"> </w:t>
      </w:r>
      <w:proofErr w:type="spellStart"/>
      <w:r w:rsidRPr="001336AE">
        <w:rPr>
          <w:lang w:val="es-ES_tradnl"/>
        </w:rPr>
        <w:t>Lansare</w:t>
      </w:r>
      <w:proofErr w:type="spellEnd"/>
      <w:r w:rsidRPr="001336AE">
        <w:rPr>
          <w:lang w:val="es-ES_tradnl"/>
        </w:rPr>
        <w:t xml:space="preserve"> a</w:t>
      </w:r>
      <w:r>
        <w:rPr>
          <w:lang w:val="es-ES_tradnl"/>
        </w:rPr>
        <w:t xml:space="preserve"> </w:t>
      </w:r>
      <w:r w:rsidRPr="001336AE">
        <w:rPr>
          <w:lang w:val="es-ES_tradnl"/>
        </w:rPr>
        <w:t xml:space="preserve">través de la aplicación informática </w:t>
      </w:r>
      <w:proofErr w:type="spellStart"/>
      <w:r w:rsidRPr="001336AE">
        <w:rPr>
          <w:lang w:val="es-ES_tradnl"/>
        </w:rPr>
        <w:t>Orientasare</w:t>
      </w:r>
      <w:proofErr w:type="spellEnd"/>
      <w:r w:rsidRPr="001336AE">
        <w:rPr>
          <w:lang w:val="es-ES_tradnl"/>
        </w:rPr>
        <w:t>/</w:t>
      </w:r>
      <w:proofErr w:type="spellStart"/>
      <w:r w:rsidRPr="001336AE">
        <w:rPr>
          <w:lang w:val="es-ES_tradnl"/>
        </w:rPr>
        <w:t>Silcoi</w:t>
      </w:r>
      <w:proofErr w:type="spellEnd"/>
      <w:r w:rsidRPr="001336AE">
        <w:rPr>
          <w:lang w:val="es-ES_tradnl"/>
        </w:rPr>
        <w:t xml:space="preserve"> web.</w:t>
      </w:r>
    </w:p>
    <w:p w:rsidR="00342ECD" w:rsidRDefault="00342ECD" w:rsidP="00AB361A">
      <w:pPr>
        <w:jc w:val="both"/>
        <w:rPr>
          <w:lang w:val="es-ES_tradnl"/>
        </w:rPr>
      </w:pPr>
      <w:r>
        <w:rPr>
          <w:lang w:val="es-ES_tradnl"/>
        </w:rPr>
        <w:t xml:space="preserve">A la hora de trabajar en </w:t>
      </w:r>
      <w:proofErr w:type="spellStart"/>
      <w:r>
        <w:rPr>
          <w:lang w:val="es-ES_tradnl"/>
        </w:rPr>
        <w:t>Orientasare</w:t>
      </w:r>
      <w:proofErr w:type="spellEnd"/>
      <w:r>
        <w:rPr>
          <w:lang w:val="es-ES_tradnl"/>
        </w:rPr>
        <w:t xml:space="preserve"> se debe</w:t>
      </w:r>
      <w:r w:rsidR="00AB361A">
        <w:rPr>
          <w:lang w:val="es-ES_tradnl"/>
        </w:rPr>
        <w:t>rá</w:t>
      </w:r>
      <w:r>
        <w:rPr>
          <w:lang w:val="es-ES_tradnl"/>
        </w:rPr>
        <w:t xml:space="preserve"> registrar lo siguiente:</w:t>
      </w:r>
    </w:p>
    <w:p w:rsidR="00342ECD" w:rsidRDefault="00342ECD" w:rsidP="00ED48D2">
      <w:pPr>
        <w:pStyle w:val="Prrafodelista"/>
        <w:numPr>
          <w:ilvl w:val="0"/>
          <w:numId w:val="1"/>
        </w:numPr>
        <w:jc w:val="both"/>
        <w:rPr>
          <w:lang w:val="es-ES_tradnl"/>
        </w:rPr>
      </w:pPr>
      <w:r w:rsidRPr="001336AE">
        <w:rPr>
          <w:b/>
          <w:lang w:val="es-ES_tradnl"/>
        </w:rPr>
        <w:t>Diagnóstico individualizado y elaboración del perfil</w:t>
      </w:r>
      <w:r w:rsidRPr="00342ECD">
        <w:rPr>
          <w:lang w:val="es-ES_tradnl"/>
        </w:rPr>
        <w:t xml:space="preserve"> de cada persona (modelo adjunto)</w:t>
      </w:r>
    </w:p>
    <w:p w:rsidR="00342ECD" w:rsidRPr="00342ECD" w:rsidRDefault="00342ECD" w:rsidP="00ED48D2">
      <w:pPr>
        <w:pStyle w:val="Prrafodelista"/>
        <w:jc w:val="both"/>
        <w:rPr>
          <w:lang w:val="es-ES_tradnl"/>
        </w:rPr>
      </w:pPr>
      <w:r>
        <w:rPr>
          <w:lang w:val="es-ES_tradnl"/>
        </w:rPr>
        <w:t xml:space="preserve">En este caso se deberá meter el diagnóstico en </w:t>
      </w:r>
      <w:proofErr w:type="spellStart"/>
      <w:r>
        <w:rPr>
          <w:lang w:val="es-ES_tradnl"/>
        </w:rPr>
        <w:t>Orientasare</w:t>
      </w:r>
      <w:proofErr w:type="spellEnd"/>
      <w:r>
        <w:rPr>
          <w:lang w:val="es-ES_tradnl"/>
        </w:rPr>
        <w:t xml:space="preserve"> antes de que pasen </w:t>
      </w:r>
      <w:r w:rsidRPr="001336AE">
        <w:rPr>
          <w:b/>
          <w:lang w:val="es-ES_tradnl"/>
        </w:rPr>
        <w:t>dos meses desde el comienzo del proyecto</w:t>
      </w:r>
      <w:r>
        <w:rPr>
          <w:lang w:val="es-ES_tradnl"/>
        </w:rPr>
        <w:t>.</w:t>
      </w:r>
    </w:p>
    <w:p w:rsidR="00342ECD" w:rsidRPr="00342ECD" w:rsidRDefault="00342ECD" w:rsidP="00ED48D2">
      <w:pPr>
        <w:pStyle w:val="Prrafodelista"/>
        <w:numPr>
          <w:ilvl w:val="0"/>
          <w:numId w:val="1"/>
        </w:numPr>
        <w:jc w:val="both"/>
        <w:rPr>
          <w:lang w:val="es-ES_tradnl"/>
        </w:rPr>
      </w:pPr>
      <w:r w:rsidRPr="001336AE">
        <w:rPr>
          <w:b/>
          <w:lang w:val="es-ES_tradnl"/>
        </w:rPr>
        <w:t>Diseño de itinerario y firma del APE</w:t>
      </w:r>
      <w:r w:rsidRPr="00342ECD">
        <w:rPr>
          <w:lang w:val="es-ES_tradnl"/>
        </w:rPr>
        <w:t xml:space="preserve"> (modelo adjunto)</w:t>
      </w:r>
      <w:r>
        <w:rPr>
          <w:lang w:val="es-ES_tradnl"/>
        </w:rPr>
        <w:t xml:space="preserve"> en el plazo de </w:t>
      </w:r>
      <w:r w:rsidRPr="001336AE">
        <w:rPr>
          <w:b/>
          <w:lang w:val="es-ES_tradnl"/>
        </w:rPr>
        <w:t>un mes desde</w:t>
      </w:r>
      <w:r>
        <w:rPr>
          <w:lang w:val="es-ES_tradnl"/>
        </w:rPr>
        <w:t xml:space="preserve"> que se ha re</w:t>
      </w:r>
      <w:r w:rsidR="00F6264B">
        <w:rPr>
          <w:lang w:val="es-ES_tradnl"/>
        </w:rPr>
        <w:t xml:space="preserve">alizado </w:t>
      </w:r>
      <w:r w:rsidR="00F6264B" w:rsidRPr="001336AE">
        <w:rPr>
          <w:b/>
          <w:lang w:val="es-ES_tradnl"/>
        </w:rPr>
        <w:t>el diagnóstico individualizado</w:t>
      </w:r>
      <w:r w:rsidR="00F6264B">
        <w:rPr>
          <w:lang w:val="es-ES_tradnl"/>
        </w:rPr>
        <w:t>.</w:t>
      </w:r>
    </w:p>
    <w:p w:rsidR="00342ECD" w:rsidRDefault="00342ECD" w:rsidP="00ED48D2">
      <w:pPr>
        <w:pStyle w:val="Prrafodelista"/>
        <w:numPr>
          <w:ilvl w:val="0"/>
          <w:numId w:val="1"/>
        </w:numPr>
        <w:jc w:val="both"/>
        <w:rPr>
          <w:lang w:val="es-ES_tradnl"/>
        </w:rPr>
      </w:pPr>
      <w:r w:rsidRPr="001336AE">
        <w:rPr>
          <w:b/>
          <w:lang w:val="es-ES_tradnl"/>
        </w:rPr>
        <w:t>Acciones de seguimiento</w:t>
      </w:r>
      <w:r>
        <w:rPr>
          <w:lang w:val="es-ES_tradnl"/>
        </w:rPr>
        <w:t xml:space="preserve"> con un resumen de los avances y progresos del trabajo de orientación realizado con el grupo y la persona en concreto.</w:t>
      </w:r>
      <w:r w:rsidR="007B371C">
        <w:rPr>
          <w:lang w:val="es-ES_tradnl"/>
        </w:rPr>
        <w:t xml:space="preserve"> Acciones de asesoramiento, ayuda técnica adicional, información sobre mercado de trabajo, formación, intermediación laboral, técnicas BAE, EURES, emprendimiento…</w:t>
      </w:r>
      <w:r>
        <w:rPr>
          <w:lang w:val="es-ES_tradnl"/>
        </w:rPr>
        <w:t xml:space="preserve"> Son acciones a grabar cuando haya transcurrido tiempo suficiente como para poder hacer referencia a avances desde la vez anterior en que se grabó algún servicio</w:t>
      </w:r>
      <w:r w:rsidR="00AB361A">
        <w:rPr>
          <w:lang w:val="es-ES_tradnl"/>
        </w:rPr>
        <w:t xml:space="preserve"> (se adjunta tabla de servicios)</w:t>
      </w:r>
      <w:r>
        <w:rPr>
          <w:lang w:val="es-ES_tradnl"/>
        </w:rPr>
        <w:t xml:space="preserve">. </w:t>
      </w:r>
    </w:p>
    <w:p w:rsidR="00F6264B" w:rsidRPr="00F6264B" w:rsidRDefault="00342ECD" w:rsidP="00ED48D2">
      <w:pPr>
        <w:jc w:val="both"/>
        <w:rPr>
          <w:lang w:val="es-ES_tradnl"/>
        </w:rPr>
      </w:pPr>
      <w:r w:rsidRPr="00A96782">
        <w:rPr>
          <w:lang w:val="es-ES_tradnl"/>
        </w:rPr>
        <w:t xml:space="preserve">Como pauta general para todos los servicios grabados en el historial de </w:t>
      </w:r>
      <w:proofErr w:type="spellStart"/>
      <w:r w:rsidRPr="00A96782">
        <w:rPr>
          <w:lang w:val="es-ES_tradnl"/>
        </w:rPr>
        <w:t>Orientasare</w:t>
      </w:r>
      <w:proofErr w:type="spellEnd"/>
      <w:r w:rsidRPr="00A96782">
        <w:rPr>
          <w:lang w:val="es-ES_tradnl"/>
        </w:rPr>
        <w:t>, se debe adjuntar un archivo con la información, haciendo una breve referencia en las observaciones al contenido de dicho archivo.</w:t>
      </w:r>
      <w:r>
        <w:rPr>
          <w:lang w:val="es-ES_tradnl"/>
        </w:rPr>
        <w:t xml:space="preserve"> </w:t>
      </w:r>
      <w:r w:rsidRPr="00F02E3D">
        <w:rPr>
          <w:b/>
          <w:lang w:val="es-ES_tradnl"/>
        </w:rPr>
        <w:t xml:space="preserve">En este caso se pide una grabación en </w:t>
      </w:r>
      <w:proofErr w:type="spellStart"/>
      <w:r w:rsidRPr="00F02E3D">
        <w:rPr>
          <w:b/>
          <w:lang w:val="es-ES_tradnl"/>
        </w:rPr>
        <w:t>orientasare</w:t>
      </w:r>
      <w:proofErr w:type="spellEnd"/>
      <w:r w:rsidRPr="00F02E3D">
        <w:rPr>
          <w:b/>
          <w:lang w:val="es-ES_tradnl"/>
        </w:rPr>
        <w:t xml:space="preserve"> como mínimo cada dos meses por cada alumno</w:t>
      </w:r>
      <w:r w:rsidR="007B371C">
        <w:rPr>
          <w:b/>
          <w:lang w:val="es-ES_tradnl"/>
        </w:rPr>
        <w:t>/a</w:t>
      </w:r>
      <w:bookmarkStart w:id="0" w:name="_GoBack"/>
      <w:bookmarkEnd w:id="0"/>
      <w:r w:rsidRPr="004F523D">
        <w:rPr>
          <w:b/>
          <w:lang w:val="es-ES_tradnl"/>
        </w:rPr>
        <w:t>.</w:t>
      </w:r>
      <w:r w:rsidR="004F523D">
        <w:rPr>
          <w:b/>
          <w:lang w:val="es-ES_tradnl"/>
        </w:rPr>
        <w:t xml:space="preserve"> </w:t>
      </w:r>
      <w:r w:rsidR="00F6264B">
        <w:rPr>
          <w:lang w:val="es-ES_tradnl"/>
        </w:rPr>
        <w:t>(</w:t>
      </w:r>
      <w:r w:rsidR="009C24FD">
        <w:rPr>
          <w:lang w:val="es-ES_tradnl"/>
        </w:rPr>
        <w:t>S</w:t>
      </w:r>
      <w:r w:rsidR="00F6264B">
        <w:rPr>
          <w:lang w:val="es-ES_tradnl"/>
        </w:rPr>
        <w:t>e pueden realizar más grabaciones, pero no menos de una cada dos meses).</w:t>
      </w:r>
    </w:p>
    <w:p w:rsidR="00DE68E9" w:rsidRDefault="004F523D" w:rsidP="00ED48D2">
      <w:pPr>
        <w:jc w:val="both"/>
        <w:rPr>
          <w:lang w:val="es-ES_tradnl"/>
        </w:rPr>
      </w:pPr>
      <w:r>
        <w:rPr>
          <w:lang w:val="es-ES_tradnl"/>
        </w:rPr>
        <w:t xml:space="preserve">Las firmas de las asistencias a las </w:t>
      </w:r>
      <w:r w:rsidR="0067243B">
        <w:rPr>
          <w:lang w:val="es-ES_tradnl"/>
        </w:rPr>
        <w:t xml:space="preserve">asistencias a las </w:t>
      </w:r>
      <w:r>
        <w:rPr>
          <w:lang w:val="es-ES_tradnl"/>
        </w:rPr>
        <w:t xml:space="preserve">orientaciones individuales y grupales se tramitarán como el resto de asistencias a través de la ficha de catálogo </w:t>
      </w:r>
      <w:r w:rsidR="003A2F82">
        <w:rPr>
          <w:lang w:val="es-ES_tradnl"/>
        </w:rPr>
        <w:t>de la convocatoria</w:t>
      </w:r>
      <w:r w:rsidR="000D27D4">
        <w:rPr>
          <w:lang w:val="es-ES_tradnl"/>
        </w:rPr>
        <w:t xml:space="preserve"> </w:t>
      </w:r>
      <w:r>
        <w:rPr>
          <w:lang w:val="es-ES_tradnl"/>
        </w:rPr>
        <w:t>(botón subsanar).</w:t>
      </w:r>
    </w:p>
    <w:p w:rsidR="000953CA" w:rsidRPr="00342ECD" w:rsidRDefault="000953CA">
      <w:pPr>
        <w:rPr>
          <w:lang w:val="es-ES_tradnl"/>
        </w:rPr>
      </w:pPr>
    </w:p>
    <w:sectPr w:rsidR="000953CA" w:rsidRPr="00342ECD">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D70" w:rsidRDefault="004C3D70" w:rsidP="004C3D70">
      <w:pPr>
        <w:spacing w:after="0" w:line="240" w:lineRule="auto"/>
      </w:pPr>
      <w:r>
        <w:separator/>
      </w:r>
    </w:p>
  </w:endnote>
  <w:endnote w:type="continuationSeparator" w:id="0">
    <w:p w:rsidR="004C3D70" w:rsidRDefault="004C3D70" w:rsidP="004C3D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Estrangelo Edessa">
    <w:panose1 w:val="000000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D70" w:rsidRDefault="004C3D70" w:rsidP="004C3D70">
      <w:pPr>
        <w:spacing w:after="0" w:line="240" w:lineRule="auto"/>
      </w:pPr>
      <w:r>
        <w:separator/>
      </w:r>
    </w:p>
  </w:footnote>
  <w:footnote w:type="continuationSeparator" w:id="0">
    <w:p w:rsidR="004C3D70" w:rsidRDefault="004C3D70" w:rsidP="004C3D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915" w:type="dxa"/>
      <w:tblInd w:w="-497" w:type="dxa"/>
      <w:tblLayout w:type="fixed"/>
      <w:tblCellMar>
        <w:left w:w="70" w:type="dxa"/>
        <w:right w:w="70" w:type="dxa"/>
      </w:tblCellMar>
      <w:tblLook w:val="04A0" w:firstRow="1" w:lastRow="0" w:firstColumn="1" w:lastColumn="0" w:noHBand="0" w:noVBand="1"/>
    </w:tblPr>
    <w:tblGrid>
      <w:gridCol w:w="10915"/>
    </w:tblGrid>
    <w:tr w:rsidR="009C24FD" w:rsidRPr="006F6DDC" w:rsidTr="00556BFA">
      <w:trPr>
        <w:cantSplit/>
        <w:trHeight w:val="719"/>
      </w:trPr>
      <w:tc>
        <w:tcPr>
          <w:tcW w:w="3544" w:type="dxa"/>
          <w:hideMark/>
        </w:tcPr>
        <w:p w:rsidR="009C24FD" w:rsidRPr="00C63920" w:rsidRDefault="009C24FD" w:rsidP="009C24FD">
          <w:pPr>
            <w:widowControl w:val="0"/>
            <w:autoSpaceDE w:val="0"/>
            <w:autoSpaceDN w:val="0"/>
            <w:adjustRightInd w:val="0"/>
            <w:spacing w:after="0" w:line="240" w:lineRule="auto"/>
            <w:ind w:left="-1651" w:right="705"/>
            <w:jc w:val="right"/>
            <w:rPr>
              <w:rFonts w:ascii="Times New Roman" w:eastAsia="Times New Roman" w:hAnsi="Times New Roman" w:cs="Arial"/>
              <w:b/>
              <w:color w:val="000000"/>
              <w:sz w:val="14"/>
              <w:szCs w:val="14"/>
              <w:lang w:val="es-ES_tradnl" w:eastAsia="es-ES"/>
            </w:rPr>
          </w:pPr>
          <w:r w:rsidRPr="00C60C0D">
            <w:rPr>
              <w:rFonts w:cs="Arial"/>
              <w:noProof/>
              <w:color w:val="0000FF"/>
            </w:rPr>
            <w:drawing>
              <wp:anchor distT="0" distB="0" distL="114300" distR="114300" simplePos="0" relativeHeight="251658240" behindDoc="0" locked="0" layoutInCell="1" allowOverlap="1">
                <wp:simplePos x="0" y="0"/>
                <wp:positionH relativeFrom="column">
                  <wp:posOffset>-92710</wp:posOffset>
                </wp:positionH>
                <wp:positionV relativeFrom="paragraph">
                  <wp:posOffset>-7620</wp:posOffset>
                </wp:positionV>
                <wp:extent cx="1800225" cy="428625"/>
                <wp:effectExtent l="0" t="0" r="9525" b="9525"/>
                <wp:wrapNone/>
                <wp:docPr id="1" name="Imagen 1" descr="http://www.fanfestival.es/wordpress/wp-content/uploads/Logo_GN.pn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anfestival.es/wordpress/wp-content/uploads/Logo_GN.png"/>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800225" cy="428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ookman Old Style" w:hAnsi="Bookman Old Style" w:cs="Estrangelo Edessa"/>
              <w:noProof/>
              <w:lang w:eastAsia="es-ES"/>
            </w:rPr>
            <w:drawing>
              <wp:anchor distT="0" distB="0" distL="114300" distR="114300" simplePos="0" relativeHeight="251659264" behindDoc="0" locked="0" layoutInCell="1" allowOverlap="1">
                <wp:simplePos x="0" y="0"/>
                <wp:positionH relativeFrom="column">
                  <wp:posOffset>2124710</wp:posOffset>
                </wp:positionH>
                <wp:positionV relativeFrom="paragraph">
                  <wp:posOffset>0</wp:posOffset>
                </wp:positionV>
                <wp:extent cx="1971040" cy="436880"/>
                <wp:effectExtent l="0" t="0" r="0" b="1270"/>
                <wp:wrapNone/>
                <wp:docPr id="21" name="Imagen 21" descr="GOB+MTES+SEPE_H_COLOR_E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B+MTES+SEPE_H_COLOR_EU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71040" cy="436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3920">
            <w:rPr>
              <w:rFonts w:ascii="Times New Roman" w:eastAsia="Times New Roman" w:hAnsi="Times New Roman" w:cs="Arial"/>
              <w:b/>
              <w:color w:val="000000"/>
              <w:sz w:val="14"/>
              <w:szCs w:val="14"/>
              <w:lang w:val="es-ES_tradnl" w:eastAsia="es-ES"/>
            </w:rPr>
            <w:t>Servicio Navarro de Empleo-</w:t>
          </w:r>
          <w:proofErr w:type="spellStart"/>
          <w:r w:rsidRPr="00C63920">
            <w:rPr>
              <w:rFonts w:ascii="Times New Roman" w:eastAsia="Times New Roman" w:hAnsi="Times New Roman" w:cs="Arial"/>
              <w:b/>
              <w:color w:val="000000"/>
              <w:sz w:val="14"/>
              <w:szCs w:val="14"/>
              <w:lang w:val="es-ES_tradnl" w:eastAsia="es-ES"/>
            </w:rPr>
            <w:t>Nafar</w:t>
          </w:r>
          <w:proofErr w:type="spellEnd"/>
          <w:r w:rsidRPr="00C63920">
            <w:rPr>
              <w:rFonts w:ascii="Times New Roman" w:eastAsia="Times New Roman" w:hAnsi="Times New Roman" w:cs="Arial"/>
              <w:b/>
              <w:color w:val="000000"/>
              <w:sz w:val="14"/>
              <w:szCs w:val="14"/>
              <w:lang w:val="es-ES_tradnl" w:eastAsia="es-ES"/>
            </w:rPr>
            <w:t xml:space="preserve"> </w:t>
          </w:r>
          <w:proofErr w:type="spellStart"/>
          <w:r w:rsidRPr="00C63920">
            <w:rPr>
              <w:rFonts w:ascii="Times New Roman" w:eastAsia="Times New Roman" w:hAnsi="Times New Roman" w:cs="Arial"/>
              <w:b/>
              <w:color w:val="000000"/>
              <w:sz w:val="14"/>
              <w:szCs w:val="14"/>
              <w:lang w:val="es-ES_tradnl" w:eastAsia="es-ES"/>
            </w:rPr>
            <w:t>Lansare</w:t>
          </w:r>
          <w:proofErr w:type="spellEnd"/>
        </w:p>
        <w:p w:rsidR="009C24FD" w:rsidRDefault="009C24FD" w:rsidP="009C24FD">
          <w:pPr>
            <w:widowControl w:val="0"/>
            <w:autoSpaceDE w:val="0"/>
            <w:autoSpaceDN w:val="0"/>
            <w:adjustRightInd w:val="0"/>
            <w:spacing w:after="0" w:line="240" w:lineRule="auto"/>
            <w:ind w:left="-1651" w:right="705"/>
            <w:jc w:val="right"/>
            <w:rPr>
              <w:rFonts w:ascii="Times New Roman" w:eastAsia="Times New Roman" w:hAnsi="Times New Roman" w:cs="Arial"/>
              <w:b/>
              <w:color w:val="000000"/>
              <w:sz w:val="14"/>
              <w:szCs w:val="14"/>
              <w:lang w:val="es-ES_tradnl" w:eastAsia="es-ES"/>
            </w:rPr>
          </w:pPr>
          <w:r w:rsidRPr="00C63920">
            <w:rPr>
              <w:rFonts w:ascii="Times New Roman" w:eastAsia="Times New Roman" w:hAnsi="Times New Roman" w:cs="Arial"/>
              <w:b/>
              <w:color w:val="000000"/>
              <w:sz w:val="14"/>
              <w:szCs w:val="14"/>
              <w:lang w:val="es-ES_tradnl" w:eastAsia="es-ES"/>
            </w:rPr>
            <w:t>Servicio de Desarrollo de Competencias Profesionales</w:t>
          </w:r>
        </w:p>
        <w:p w:rsidR="009C24FD" w:rsidRDefault="009C24FD" w:rsidP="009C24FD">
          <w:pPr>
            <w:widowControl w:val="0"/>
            <w:autoSpaceDE w:val="0"/>
            <w:autoSpaceDN w:val="0"/>
            <w:adjustRightInd w:val="0"/>
            <w:spacing w:after="0" w:line="240" w:lineRule="auto"/>
            <w:ind w:left="-1650" w:right="705"/>
            <w:jc w:val="right"/>
            <w:rPr>
              <w:rFonts w:ascii="Times New Roman" w:eastAsia="Times New Roman" w:hAnsi="Times New Roman" w:cs="Arial"/>
              <w:color w:val="000000"/>
              <w:sz w:val="14"/>
              <w:szCs w:val="14"/>
              <w:lang w:val="es-ES_tradnl" w:eastAsia="es-ES"/>
            </w:rPr>
          </w:pPr>
          <w:r w:rsidRPr="00C63920">
            <w:rPr>
              <w:rFonts w:ascii="Times New Roman" w:eastAsia="Times New Roman" w:hAnsi="Times New Roman" w:cs="Arial"/>
              <w:color w:val="000000"/>
              <w:sz w:val="14"/>
              <w:szCs w:val="14"/>
              <w:lang w:val="es-ES_tradnl" w:eastAsia="es-ES"/>
            </w:rPr>
            <w:t>Parque Tomas Caballero, 1-3ª</w:t>
          </w:r>
        </w:p>
        <w:p w:rsidR="009C24FD" w:rsidRPr="006F6DDC" w:rsidRDefault="009C24FD" w:rsidP="009C24FD">
          <w:pPr>
            <w:widowControl w:val="0"/>
            <w:autoSpaceDE w:val="0"/>
            <w:autoSpaceDN w:val="0"/>
            <w:adjustRightInd w:val="0"/>
            <w:spacing w:after="0" w:line="240" w:lineRule="auto"/>
            <w:ind w:left="-1650" w:right="705"/>
            <w:jc w:val="right"/>
            <w:rPr>
              <w:rFonts w:ascii="Times New Roman" w:eastAsia="Times New Roman" w:hAnsi="Times New Roman" w:cs="Arial"/>
              <w:color w:val="000000"/>
              <w:sz w:val="14"/>
              <w:szCs w:val="14"/>
              <w:lang w:val="es-ES_tradnl" w:eastAsia="es-ES"/>
            </w:rPr>
          </w:pPr>
          <w:r w:rsidRPr="00C63920">
            <w:rPr>
              <w:rFonts w:ascii="Times New Roman" w:eastAsia="Times New Roman" w:hAnsi="Times New Roman" w:cs="Arial"/>
              <w:color w:val="000000"/>
              <w:sz w:val="14"/>
              <w:szCs w:val="14"/>
              <w:lang w:val="es-ES_tradnl" w:eastAsia="es-ES"/>
            </w:rPr>
            <w:t>Edificio Fuerte del Príncipe II</w:t>
          </w:r>
          <w:r>
            <w:rPr>
              <w:rFonts w:ascii="Times New Roman" w:eastAsia="Times New Roman" w:hAnsi="Times New Roman" w:cs="Arial"/>
              <w:color w:val="000000"/>
              <w:sz w:val="14"/>
              <w:szCs w:val="14"/>
              <w:lang w:val="es-ES_tradnl" w:eastAsia="es-ES"/>
            </w:rPr>
            <w:t xml:space="preserve">  -  31005-</w:t>
          </w:r>
          <w:r w:rsidRPr="00C63920">
            <w:rPr>
              <w:rFonts w:ascii="Times New Roman" w:eastAsia="Times New Roman" w:hAnsi="Times New Roman" w:cs="Arial"/>
              <w:color w:val="000000"/>
              <w:sz w:val="14"/>
              <w:szCs w:val="14"/>
              <w:lang w:val="es-ES_tradnl" w:eastAsia="es-ES"/>
            </w:rPr>
            <w:t>Pamplona</w:t>
          </w:r>
        </w:p>
      </w:tc>
    </w:tr>
  </w:tbl>
  <w:p w:rsidR="004C3D70" w:rsidRPr="009C24FD" w:rsidRDefault="004C3D70" w:rsidP="009C24FD">
    <w:pPr>
      <w:pStyle w:val="Encabezado"/>
      <w:ind w:right="705"/>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5F163B"/>
    <w:multiLevelType w:val="hybridMultilevel"/>
    <w:tmpl w:val="7778ABE2"/>
    <w:lvl w:ilvl="0" w:tplc="2CE84272">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ECD"/>
    <w:rsid w:val="00047053"/>
    <w:rsid w:val="000953CA"/>
    <w:rsid w:val="000D27D4"/>
    <w:rsid w:val="000F7E0A"/>
    <w:rsid w:val="001336AE"/>
    <w:rsid w:val="00342ECD"/>
    <w:rsid w:val="003847E4"/>
    <w:rsid w:val="003A2F82"/>
    <w:rsid w:val="0048762F"/>
    <w:rsid w:val="004C3D70"/>
    <w:rsid w:val="004F523D"/>
    <w:rsid w:val="005C6E97"/>
    <w:rsid w:val="0067243B"/>
    <w:rsid w:val="007B371C"/>
    <w:rsid w:val="00881082"/>
    <w:rsid w:val="0098325B"/>
    <w:rsid w:val="009A758B"/>
    <w:rsid w:val="009C24FD"/>
    <w:rsid w:val="00A96782"/>
    <w:rsid w:val="00AB361A"/>
    <w:rsid w:val="00C650C0"/>
    <w:rsid w:val="00C66A71"/>
    <w:rsid w:val="00D3603D"/>
    <w:rsid w:val="00DE68E9"/>
    <w:rsid w:val="00ED48D2"/>
    <w:rsid w:val="00F02E3D"/>
    <w:rsid w:val="00F626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EC14B"/>
  <w15:chartTrackingRefBased/>
  <w15:docId w15:val="{9D47F376-62ED-48BB-B095-F8FD16039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42ECD"/>
    <w:pPr>
      <w:ind w:left="720"/>
      <w:contextualSpacing/>
    </w:pPr>
  </w:style>
  <w:style w:type="paragraph" w:styleId="Encabezado">
    <w:name w:val="header"/>
    <w:basedOn w:val="Normal"/>
    <w:link w:val="EncabezadoCar"/>
    <w:uiPriority w:val="99"/>
    <w:unhideWhenUsed/>
    <w:rsid w:val="004C3D7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C3D70"/>
  </w:style>
  <w:style w:type="paragraph" w:styleId="Piedepgina">
    <w:name w:val="footer"/>
    <w:basedOn w:val="Normal"/>
    <w:link w:val="PiedepginaCar"/>
    <w:uiPriority w:val="99"/>
    <w:unhideWhenUsed/>
    <w:rsid w:val="004C3D7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C3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http://www.fanfestival.es/wordpress/wp-content/uploads/Logo_GN.png" TargetMode="External"/><Relationship Id="rId2" Type="http://schemas.openxmlformats.org/officeDocument/2006/relationships/image" Target="media/image1.png"/><Relationship Id="rId1" Type="http://schemas.openxmlformats.org/officeDocument/2006/relationships/hyperlink" Target="http://www.google.es/url?sa=i&amp;rct=j&amp;q=&amp;esrc=s&amp;source=images&amp;cd=&amp;cad=rja&amp;uact=8&amp;ved=0ahUKEwiwvvG8-f7LAhUCWxQKHQw2C1IQjRwIBw&amp;url=http://pamplonetario.org/2016/01/fan16-el-festival-de-anime-de-navarra-desembarca-con-el-ano-nuevo/&amp;psig=AFQjCNHAPGCeJwzU2ZmKHLdYMBXTRxsUlQ&amp;ust=1460201726677497" TargetMode="External"/><Relationship Id="rId4"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313</Words>
  <Characters>1724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x003150</dc:creator>
  <cp:keywords/>
  <dc:description/>
  <cp:lastModifiedBy>X028515</cp:lastModifiedBy>
  <cp:revision>5</cp:revision>
  <dcterms:created xsi:type="dcterms:W3CDTF">2023-09-28T12:16:00Z</dcterms:created>
  <dcterms:modified xsi:type="dcterms:W3CDTF">2023-09-28T12:54:00Z</dcterms:modified>
</cp:coreProperties>
</file>